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/>
      <w:bookmarkStart w:id="0" w:name="_Hlk114829796"/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APPROVED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r>
    </w:p>
    <w:p>
      <w:pPr>
        <w:ind w:right="-1"/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by the Board of Directors of TEK-Torg JSC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r>
    </w:p>
    <w:p>
      <w:pPr>
        <w:ind w:right="-1"/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Protocol No. 41 of July 28, 2023</w:t>
      </w:r>
      <w:bookmarkEnd w:id="0"/>
      <w:r/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r>
    </w:p>
    <w:p>
      <w:pPr>
        <w:ind w:right="-1"/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en-US" w:eastAsia="ru-RU"/>
        </w:rPr>
      </w:r>
    </w:p>
    <w:p>
      <w:pPr>
        <w:ind w:right="706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</w:rPr>
      </w:r>
    </w:p>
    <w:p>
      <w:pPr>
        <w:ind w:right="706"/>
        <w:jc w:val="right"/>
        <w:spacing w:after="0" w:line="240" w:lineRule="auto"/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val="en-US"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</w:rPr>
      </w:pPr>
      <w:r/>
      <w:bookmarkStart w:id="1" w:name="_Hlk114831895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Tariff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plan of TEK-Torg JSC in the Section “Procurement procedures of Rosneft” for Participants</w:t>
      </w:r>
      <w:bookmarkEnd w:id="1"/>
      <w:r/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tbl>
      <w:tblPr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260"/>
        <w:gridCol w:w="3261"/>
        <w:gridCol w:w="2835"/>
      </w:tblGrid>
      <w:tr>
        <w:tblPrEx/>
        <w:trPr>
          <w:trHeight w:val="492"/>
        </w:trPr>
        <w:tc>
          <w:tcPr>
            <w:gridSpan w:val="4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591" w:type="dxa"/>
            <w:textDirection w:val="lrTb"/>
            <w:noWrap w:val="false"/>
          </w:tcPr>
          <w:p>
            <w:pPr>
              <w:ind w:left="0"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For Participants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6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8" w:type="dxa"/>
              <w:top w:w="14" w:type="dxa"/>
              <w:right w:w="98" w:type="dxa"/>
              <w:bottom w:w="0" w:type="dxa"/>
            </w:tcMar>
            <w:tcW w:w="5235" w:type="dxa"/>
            <w:vAlign w:val="center"/>
            <w:textDirection w:val="lrTb"/>
            <w:noWrap w:val="false"/>
          </w:tcPr>
          <w:p>
            <w:pPr>
              <w:ind w:left="750" w:right="-1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Name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The amount in rubles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including VAT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The number of procurement procedures in which the Participant can participate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The validity period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8" w:type="dxa"/>
              <w:top w:w="14" w:type="dxa"/>
              <w:right w:w="98" w:type="dxa"/>
              <w:bottom w:w="0" w:type="dxa"/>
            </w:tcMar>
            <w:tcW w:w="5235" w:type="dxa"/>
            <w:textDirection w:val="lrTb"/>
            <w:noWrap w:val="false"/>
          </w:tcPr>
          <w:p>
            <w:pPr>
              <w:ind w:left="709" w:right="-1" w:hanging="32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Partner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ind w:left="32" w:right="-1" w:hanging="3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ind w:left="709" w:right="-1" w:hanging="32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Winner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750" w:right="-1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left="750" w:right="-1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ind w:left="750" w:right="-1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1% of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the contract price, but no more than 75,000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 limitations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 limitation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 / Fees only in case of win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12 months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Unlimited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</w:tr>
      <w:tr>
        <w:tblPrEx/>
        <w:trPr>
          <w:trHeight w:val="4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8" w:type="dxa"/>
              <w:top w:w="14" w:type="dxa"/>
              <w:right w:w="98" w:type="dxa"/>
              <w:bottom w:w="0" w:type="dxa"/>
            </w:tcMar>
            <w:tcW w:w="5235" w:type="dxa"/>
            <w:textDirection w:val="lrTb"/>
            <w:noWrap w:val="false"/>
          </w:tcPr>
          <w:p>
            <w:pPr>
              <w:ind w:left="709" w:right="-1" w:hanging="32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Non-competitive procurement contract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750" w:right="-1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4,000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Access to the feature of signing contract documents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outside the scope of competitive electronic procurement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12 months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8" w:type="dxa"/>
              <w:top w:w="14" w:type="dxa"/>
              <w:right w:w="98" w:type="dxa"/>
              <w:bottom w:w="0" w:type="dxa"/>
            </w:tcMar>
            <w:tcW w:w="5235" w:type="dxa"/>
            <w:vAlign w:val="center"/>
            <w:textDirection w:val="lrTb"/>
            <w:noWrap w:val="false"/>
          </w:tcPr>
          <w:p>
            <w:pPr>
              <w:ind w:left="709" w:right="-1" w:hanging="32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SME-only procedure (art. 3.4 of 223-FZ)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56" w:type="dxa"/>
            <w:vAlign w:val="center"/>
            <w:textDirection w:val="lrTb"/>
            <w:noWrap w:val="false"/>
          </w:tcPr>
          <w:p>
            <w:pPr>
              <w:ind w:left="750" w:right="-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of contract’s IMP, but no more than 5,000 rubles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excluding VAT)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left="0" w:firstLine="0"/>
        <w:jc w:val="both"/>
        <w:keepLines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1. All terms and definitions of the Tariff plan are used in accordance with the Regulations of work on the Electronic Trading Platform TEK-Torg JSC in the Section “Procurement procedures of Rosneft”, unless otherwise defined in the Tariff plan.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2. The date of access to the Procurement procedures on the ETP is the date of tariff activation.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Termination date of access to the Procurement procedures on the ETP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‐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For “Partner” tariff: the respective day of the last month of the tariff validity period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‐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For “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Non-competitive procurement contrac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t” tariff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the respective day of the last month of the tariff validity period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Tariffs activated before the date of entry into force of new tariff plans are valid on the conditions specified in the Regulations and the Tariff plan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 in force on the date of activation of the tariff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5. Detailed description of the tariffs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r>
    </w:p>
    <w:tbl>
      <w:tblPr>
        <w:tblW w:w="14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1615"/>
      </w:tblGrid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Tariff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6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Description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4596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70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Partner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70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Winner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615" w:type="dxa"/>
            <w:textDirection w:val="lrTb"/>
            <w:noWrap w:val="false"/>
          </w:tcPr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Participation / win in unlimited number of procurement procedures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during the validity period of the tariff (1 year);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Access to the feature of signing contract documents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outside the scope of competitive electronic procuremen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The cost is 199,000 rubles including VAT for 1 year;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Additional fee is not charged from the winner of procurement procedure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ind w:left="709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Participation in unlimited number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of procurement procedures free of charge;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To apply for participation in procurement procedure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the deposit is blocked on participant’s account in amount of 150,000 rubles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, at the same time there are no limits on the number of applications in the scope of the blocked deposit;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Apply for participation is possible only if there are 150,000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₽ in participant’s account;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The amount of write-off is 1%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of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the contract price, but no more than 75,000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₽ including VAT in the scope of 1 procurement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If contract price was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indicated in foreign currency, the write-off sum is 75,000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₽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including VAT (20%)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regardless of the contract price;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Funds are debited from the personal account of the Winner to pay the tariff fir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stly from the available, unblocked  on the personal account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</w:tr>
      <w:tr>
        <w:tblPrEx/>
        <w:trPr>
          <w:trHeight w:val="17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15" w:type="dxa"/>
              <w:right w:w="108" w:type="dxa"/>
              <w:bottom w:w="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ind w:left="70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Non-competitive procurement contract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ind w:left="70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SME-only procedure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615" w:type="dxa"/>
            <w:vMerge w:val="restart"/>
            <w:textDirection w:val="lrTb"/>
            <w:noWrap w:val="false"/>
          </w:tcPr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Access to the feature of signing contract documents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outside the scope of competitive electronic procurement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7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The cost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is 4,000 rubles including VAT for 1 year, unlimited.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1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Procedure, where only SMEs can participate in accordance with art. 3.4 of Federal Law No. 223;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pStyle w:val="627"/>
              <w:numPr>
                <w:ilvl w:val="0"/>
                <w:numId w:val="1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  <w:t xml:space="preserve">The cost is 1% of the contract’s IMP, but no more than 5,000 rubles (excluding VAT).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A17DAF4533A64392ACC03487F259C4" ma:contentTypeVersion="17" ma:contentTypeDescription="Создание документа." ma:contentTypeScope="" ma:versionID="5f1fd893221fcd01b3862ad9cfc09925">
  <xsd:schema xmlns:xsd="http://www.w3.org/2001/XMLSchema" xmlns:xs="http://www.w3.org/2001/XMLSchema" xmlns:p="http://schemas.microsoft.com/office/2006/metadata/properties" xmlns:ns2="fe68ce1e-7090-443b-a36d-0f1ceec21443" xmlns:ns3="abc5417a-3aab-4df0-94ab-5d11494043e2" targetNamespace="http://schemas.microsoft.com/office/2006/metadata/properties" ma:root="true" ma:fieldsID="583097e706cafd399f89caf95845766f" ns2:_="" ns3:_="">
    <xsd:import namespace="fe68ce1e-7090-443b-a36d-0f1ceec21443"/>
    <xsd:import namespace="abc5417a-3aab-4df0-94ab-5d11494043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x0414__x0430__x0442__x0430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931378-27f4-49f9-a0b9-595595cc1e71}" ma:internalName="TaxCatchAll" ma:showField="CatchAllData" ma:web="fe68ce1e-7090-443b-a36d-0f1ceec21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5417a-3aab-4df0-94ab-5d1149404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414__x0430__x0442__x0430_" ma:index="21" nillable="true" ma:displayName="Дата" ma:format="Dropdown" ma:internalName="_x0414__x0430__x0442__x0430_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fd6fd11-fbd4-45d9-866e-8b8a4db9a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EEBA-9E7F-4747-914D-C235F173D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abc5417a-3aab-4df0-94ab-5d11494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6EA30-1EA2-4F79-8B8D-E98FB644F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36559-8FA7-45F7-9CE7-8B0372A2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Розанова Мария</dc:creator>
  <cp:keywords/>
  <dc:description/>
  <cp:revision>3</cp:revision>
  <dcterms:created xsi:type="dcterms:W3CDTF">2022-12-09T11:23:00Z</dcterms:created>
  <dcterms:modified xsi:type="dcterms:W3CDTF">2024-02-07T08:40:11Z</dcterms:modified>
</cp:coreProperties>
</file>